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Cs w:val="32"/>
        </w:rPr>
      </w:pPr>
      <w:r>
        <w:rPr>
          <w:rFonts w:hint="eastAsia" w:ascii="黑体" w:hAnsi="黑体" w:eastAsia="黑体" w:cs="黑体"/>
          <w:color w:val="auto"/>
          <w:szCs w:val="32"/>
        </w:rPr>
        <w:t>附件2</w:t>
      </w:r>
    </w:p>
    <w:p>
      <w:pPr>
        <w:rPr>
          <w:rFonts w:hint="eastAsia" w:ascii="华文中宋" w:hAnsi="华文中宋" w:eastAsia="华文中宋"/>
          <w:b/>
          <w:color w:val="auto"/>
          <w:szCs w:val="32"/>
        </w:rPr>
      </w:pPr>
    </w:p>
    <w:p>
      <w:pPr>
        <w:jc w:val="center"/>
        <w:rPr>
          <w:rFonts w:hint="eastAsia" w:ascii="方正小标宋简体" w:hAnsi="方正小标宋简体" w:eastAsia="方正小标宋简体" w:cs="方正小标宋简体"/>
          <w:bCs/>
          <w:color w:val="auto"/>
          <w:sz w:val="40"/>
          <w:szCs w:val="40"/>
        </w:rPr>
      </w:pPr>
      <w:r>
        <w:rPr>
          <w:rFonts w:hint="eastAsia" w:ascii="方正小标宋简体" w:hAnsi="方正小标宋简体" w:eastAsia="方正小标宋简体" w:cs="方正小标宋简体"/>
          <w:bCs/>
          <w:color w:val="000000"/>
          <w:sz w:val="40"/>
          <w:szCs w:val="40"/>
        </w:rPr>
        <w:t>枞阳县人大常委会办公室</w:t>
      </w:r>
      <w:r>
        <w:rPr>
          <w:rFonts w:hint="eastAsia" w:ascii="方正小标宋简体" w:hAnsi="方正小标宋简体" w:eastAsia="方正小标宋简体" w:cs="方正小标宋简体"/>
          <w:bCs/>
          <w:color w:val="auto"/>
          <w:sz w:val="40"/>
          <w:szCs w:val="40"/>
        </w:rPr>
        <w:t>2024年一般公共</w:t>
      </w:r>
    </w:p>
    <w:p>
      <w:pPr>
        <w:jc w:val="center"/>
        <w:rPr>
          <w:rFonts w:hint="eastAsia" w:ascii="方正小标宋简体" w:hAnsi="方正小标宋简体" w:eastAsia="方正小标宋简体" w:cs="方正小标宋简体"/>
          <w:bCs/>
          <w:color w:val="auto"/>
          <w:sz w:val="40"/>
          <w:szCs w:val="40"/>
        </w:rPr>
      </w:pPr>
      <w:r>
        <w:rPr>
          <w:rFonts w:hint="eastAsia" w:ascii="方正小标宋简体" w:hAnsi="方正小标宋简体" w:eastAsia="方正小标宋简体" w:cs="方正小标宋简体"/>
          <w:bCs/>
          <w:color w:val="auto"/>
          <w:sz w:val="40"/>
          <w:szCs w:val="40"/>
        </w:rPr>
        <w:t>预算“三公”经费预算</w:t>
      </w:r>
    </w:p>
    <w:p>
      <w:pPr>
        <w:rPr>
          <w:rFonts w:hint="eastAsia" w:ascii="宋体" w:hAnsi="宋体"/>
          <w:color w:val="auto"/>
          <w:sz w:val="6"/>
          <w:szCs w:val="32"/>
        </w:rPr>
      </w:pPr>
    </w:p>
    <w:p>
      <w:pPr>
        <w:ind w:firstLine="640" w:firstLineChars="200"/>
        <w:outlineLvl w:val="0"/>
        <w:rPr>
          <w:rFonts w:ascii="黑体" w:hAnsi="黑体" w:eastAsia="黑体"/>
          <w:color w:val="auto"/>
          <w:szCs w:val="32"/>
        </w:rPr>
      </w:pPr>
      <w:r>
        <w:rPr>
          <w:rFonts w:hint="eastAsia" w:ascii="黑体" w:hAnsi="黑体" w:eastAsia="黑体"/>
          <w:color w:val="auto"/>
          <w:szCs w:val="32"/>
        </w:rPr>
        <w:t>一、2024年一般公共预算“三公”经费支出预算表</w:t>
      </w:r>
    </w:p>
    <w:p>
      <w:pPr>
        <w:adjustRightInd w:val="0"/>
        <w:snapToGrid w:val="0"/>
        <w:ind w:firstLine="509" w:firstLineChars="196"/>
        <w:jc w:val="right"/>
        <w:rPr>
          <w:rStyle w:val="5"/>
          <w:rFonts w:hint="eastAsia" w:ascii="宋体" w:hAnsi="宋体" w:eastAsia="宋体" w:cs="宋体"/>
          <w:b w:val="0"/>
          <w:color w:val="auto"/>
          <w:sz w:val="26"/>
          <w:szCs w:val="26"/>
        </w:rPr>
      </w:pPr>
      <w:r>
        <w:rPr>
          <w:rStyle w:val="5"/>
          <w:rFonts w:hint="eastAsia" w:ascii="宋体" w:hAnsi="宋体" w:eastAsia="宋体" w:cs="宋体"/>
          <w:b w:val="0"/>
          <w:color w:val="auto"/>
          <w:sz w:val="26"/>
          <w:szCs w:val="26"/>
        </w:rPr>
        <w:t xml:space="preserve">      单位：万元</w:t>
      </w:r>
    </w:p>
    <w:tbl>
      <w:tblPr>
        <w:tblStyle w:val="6"/>
        <w:tblW w:w="9400" w:type="dxa"/>
        <w:jc w:val="center"/>
        <w:tblInd w:w="0" w:type="dxa"/>
        <w:tblLayout w:type="fixed"/>
        <w:tblCellMar>
          <w:top w:w="0" w:type="dxa"/>
          <w:left w:w="108" w:type="dxa"/>
          <w:bottom w:w="0" w:type="dxa"/>
          <w:right w:w="108" w:type="dxa"/>
        </w:tblCellMar>
      </w:tblPr>
      <w:tblGrid>
        <w:gridCol w:w="1909"/>
        <w:gridCol w:w="1910"/>
        <w:gridCol w:w="882"/>
        <w:gridCol w:w="1780"/>
        <w:gridCol w:w="1890"/>
        <w:gridCol w:w="1029"/>
      </w:tblGrid>
      <w:tr>
        <w:tblPrEx>
          <w:tblLayout w:type="fixed"/>
          <w:tblCellMar>
            <w:top w:w="0" w:type="dxa"/>
            <w:left w:w="108" w:type="dxa"/>
            <w:bottom w:w="0" w:type="dxa"/>
            <w:right w:w="108" w:type="dxa"/>
          </w:tblCellMar>
        </w:tblPrEx>
        <w:trPr>
          <w:trHeight w:val="885" w:hRule="atLeast"/>
          <w:jc w:val="center"/>
        </w:trPr>
        <w:tc>
          <w:tcPr>
            <w:tcW w:w="19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“三公”经费合计</w:t>
            </w:r>
          </w:p>
        </w:tc>
        <w:tc>
          <w:tcPr>
            <w:tcW w:w="19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因公出国（境）费</w:t>
            </w:r>
          </w:p>
        </w:tc>
        <w:tc>
          <w:tcPr>
            <w:tcW w:w="455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公务用车购置及运行费</w:t>
            </w:r>
          </w:p>
        </w:tc>
        <w:tc>
          <w:tcPr>
            <w:tcW w:w="102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公务</w:t>
            </w:r>
          </w:p>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接待费</w:t>
            </w:r>
          </w:p>
        </w:tc>
      </w:tr>
      <w:tr>
        <w:tblPrEx>
          <w:tblLayout w:type="fixed"/>
          <w:tblCellMar>
            <w:top w:w="0" w:type="dxa"/>
            <w:left w:w="108" w:type="dxa"/>
            <w:bottom w:w="0" w:type="dxa"/>
            <w:right w:w="108" w:type="dxa"/>
          </w:tblCellMar>
        </w:tblPrEx>
        <w:trPr>
          <w:trHeight w:val="862" w:hRule="atLeast"/>
          <w:jc w:val="center"/>
        </w:trPr>
        <w:tc>
          <w:tcPr>
            <w:tcW w:w="19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20"/>
                <w:szCs w:val="20"/>
              </w:rPr>
            </w:pPr>
          </w:p>
        </w:tc>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20"/>
                <w:szCs w:val="20"/>
              </w:rPr>
            </w:pPr>
          </w:p>
        </w:tc>
        <w:tc>
          <w:tcPr>
            <w:tcW w:w="8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178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公务用车购置费</w:t>
            </w:r>
          </w:p>
        </w:tc>
        <w:tc>
          <w:tcPr>
            <w:tcW w:w="18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公务用车运行费</w:t>
            </w:r>
          </w:p>
        </w:tc>
        <w:tc>
          <w:tcPr>
            <w:tcW w:w="102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b/>
                <w:bCs/>
                <w:color w:val="auto"/>
                <w:kern w:val="0"/>
                <w:sz w:val="20"/>
                <w:szCs w:val="20"/>
              </w:rPr>
            </w:pPr>
          </w:p>
        </w:tc>
      </w:tr>
      <w:tr>
        <w:tblPrEx>
          <w:tblLayout w:type="fixed"/>
          <w:tblCellMar>
            <w:top w:w="0" w:type="dxa"/>
            <w:left w:w="108" w:type="dxa"/>
            <w:bottom w:w="0" w:type="dxa"/>
            <w:right w:w="108" w:type="dxa"/>
          </w:tblCellMar>
        </w:tblPrEx>
        <w:trPr>
          <w:trHeight w:val="946" w:hRule="atLeast"/>
          <w:jc w:val="center"/>
        </w:trPr>
        <w:tc>
          <w:tcPr>
            <w:tcW w:w="1909" w:type="dxa"/>
            <w:tcBorders>
              <w:top w:val="nil"/>
              <w:left w:val="single" w:color="auto" w:sz="4" w:space="0"/>
              <w:bottom w:val="single" w:color="auto" w:sz="4" w:space="0"/>
              <w:right w:val="single" w:color="auto" w:sz="4" w:space="0"/>
            </w:tcBorders>
            <w:noWrap w:val="0"/>
            <w:vAlign w:val="center"/>
          </w:tcPr>
          <w:p>
            <w:pPr>
              <w:widowControl/>
              <w:ind w:firstLine="330" w:firstLineChars="15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1.95</w:t>
            </w:r>
          </w:p>
        </w:tc>
        <w:tc>
          <w:tcPr>
            <w:tcW w:w="191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2"/>
                <w:szCs w:val="22"/>
              </w:rPr>
            </w:pPr>
          </w:p>
        </w:tc>
        <w:tc>
          <w:tcPr>
            <w:tcW w:w="8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szCs w:val="22"/>
              </w:rPr>
            </w:pPr>
          </w:p>
        </w:tc>
        <w:tc>
          <w:tcPr>
            <w:tcW w:w="1780" w:type="dxa"/>
            <w:tcBorders>
              <w:top w:val="nil"/>
              <w:left w:val="nil"/>
              <w:bottom w:val="single" w:color="auto" w:sz="4" w:space="0"/>
              <w:right w:val="single" w:color="auto" w:sz="4" w:space="0"/>
            </w:tcBorders>
            <w:noWrap w:val="0"/>
            <w:vAlign w:val="center"/>
          </w:tcPr>
          <w:p>
            <w:pPr>
              <w:widowControl/>
              <w:ind w:firstLine="110" w:firstLineChars="50"/>
              <w:jc w:val="left"/>
              <w:rPr>
                <w:rFonts w:hint="eastAsia" w:ascii="宋体" w:hAnsi="宋体" w:eastAsia="宋体" w:cs="宋体"/>
                <w:color w:val="auto"/>
                <w:kern w:val="0"/>
                <w:sz w:val="22"/>
                <w:szCs w:val="22"/>
              </w:rPr>
            </w:pPr>
          </w:p>
        </w:tc>
        <w:tc>
          <w:tcPr>
            <w:tcW w:w="1890" w:type="dxa"/>
            <w:tcBorders>
              <w:top w:val="nil"/>
              <w:left w:val="nil"/>
              <w:bottom w:val="single" w:color="auto" w:sz="4" w:space="0"/>
              <w:right w:val="single" w:color="auto" w:sz="4" w:space="0"/>
            </w:tcBorders>
            <w:noWrap w:val="0"/>
            <w:vAlign w:val="center"/>
          </w:tcPr>
          <w:p>
            <w:pPr>
              <w:widowControl/>
              <w:ind w:firstLine="110" w:firstLineChars="50"/>
              <w:jc w:val="left"/>
              <w:rPr>
                <w:rFonts w:hint="eastAsia" w:ascii="宋体" w:hAnsi="宋体" w:eastAsia="宋体" w:cs="宋体"/>
                <w:color w:val="auto"/>
                <w:kern w:val="0"/>
                <w:sz w:val="22"/>
                <w:szCs w:val="22"/>
              </w:rPr>
            </w:pPr>
          </w:p>
        </w:tc>
        <w:tc>
          <w:tcPr>
            <w:tcW w:w="102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1.95</w:t>
            </w:r>
          </w:p>
        </w:tc>
      </w:tr>
    </w:tbl>
    <w:p>
      <w:pPr>
        <w:spacing w:line="600" w:lineRule="exact"/>
        <w:ind w:firstLine="640" w:firstLineChars="200"/>
        <w:outlineLvl w:val="0"/>
        <w:rPr>
          <w:rFonts w:ascii="黑体" w:hAnsi="黑体" w:eastAsia="黑体"/>
          <w:color w:val="auto"/>
          <w:szCs w:val="32"/>
        </w:rPr>
      </w:pPr>
      <w:r>
        <w:rPr>
          <w:rFonts w:hint="eastAsia" w:ascii="黑体" w:hAnsi="黑体" w:eastAsia="黑体"/>
          <w:color w:val="auto"/>
          <w:szCs w:val="32"/>
        </w:rPr>
        <w:t>二、2024年一般公共预算“三公”经费支出预算情况说明</w:t>
      </w:r>
    </w:p>
    <w:p>
      <w:pPr>
        <w:adjustRightInd w:val="0"/>
        <w:snapToGrid w:val="0"/>
        <w:spacing w:line="600" w:lineRule="exact"/>
        <w:ind w:firstLine="640" w:firstLineChars="200"/>
        <w:rPr>
          <w:rFonts w:hint="eastAsia" w:hAnsi="仿宋"/>
          <w:color w:val="auto"/>
          <w:szCs w:val="32"/>
        </w:rPr>
      </w:pPr>
      <w:r>
        <w:rPr>
          <w:rFonts w:hint="eastAsia" w:hAnsi="仿宋" w:cs="宋体"/>
          <w:color w:val="auto"/>
          <w:kern w:val="0"/>
          <w:szCs w:val="32"/>
          <w:lang w:eastAsia="zh-CN"/>
        </w:rPr>
        <w:t>枞阳县人大常委会办公室</w:t>
      </w:r>
      <w:r>
        <w:rPr>
          <w:rFonts w:hint="eastAsia" w:hAnsi="仿宋"/>
          <w:color w:val="auto"/>
          <w:szCs w:val="32"/>
        </w:rPr>
        <w:t>2024年一般公共预算“三公”经费支出预算为</w:t>
      </w:r>
      <w:r>
        <w:rPr>
          <w:rFonts w:hint="eastAsia" w:hAnsi="仿宋"/>
          <w:color w:val="auto"/>
          <w:szCs w:val="32"/>
          <w:lang w:val="en-US" w:eastAsia="zh-CN"/>
        </w:rPr>
        <w:t>1.95</w:t>
      </w:r>
      <w:r>
        <w:rPr>
          <w:rFonts w:hint="eastAsia" w:hAnsi="仿宋"/>
          <w:color w:val="auto"/>
          <w:szCs w:val="32"/>
        </w:rPr>
        <w:t>万元，比2023年预算减少</w:t>
      </w:r>
      <w:r>
        <w:rPr>
          <w:rFonts w:hint="eastAsia" w:hAnsi="仿宋"/>
          <w:color w:val="auto"/>
          <w:szCs w:val="32"/>
          <w:lang w:val="en-US" w:eastAsia="zh-CN"/>
        </w:rPr>
        <w:t>0.05</w:t>
      </w:r>
      <w:r>
        <w:rPr>
          <w:rFonts w:hint="eastAsia" w:hAnsi="仿宋"/>
          <w:color w:val="auto"/>
          <w:szCs w:val="32"/>
        </w:rPr>
        <w:t>万元，下降</w:t>
      </w:r>
      <w:r>
        <w:rPr>
          <w:rFonts w:hint="eastAsia" w:hAnsi="仿宋"/>
          <w:color w:val="auto"/>
          <w:szCs w:val="32"/>
          <w:lang w:val="en-US" w:eastAsia="zh-CN"/>
        </w:rPr>
        <w:t>2.5</w:t>
      </w:r>
      <w:r>
        <w:rPr>
          <w:rFonts w:hint="eastAsia" w:hAnsi="仿宋"/>
          <w:color w:val="auto"/>
          <w:szCs w:val="32"/>
        </w:rPr>
        <w:t>%。其中：因公出国（境）费支出预算为</w:t>
      </w:r>
      <w:r>
        <w:rPr>
          <w:rFonts w:hint="eastAsia" w:hAnsi="仿宋"/>
          <w:color w:val="auto"/>
          <w:szCs w:val="32"/>
          <w:lang w:val="en-US" w:eastAsia="zh-CN"/>
        </w:rPr>
        <w:t>0</w:t>
      </w:r>
      <w:r>
        <w:rPr>
          <w:rFonts w:hint="eastAsia" w:hAnsi="仿宋"/>
          <w:color w:val="auto"/>
          <w:szCs w:val="32"/>
        </w:rPr>
        <w:t>万元，公务接待费支出预算为</w:t>
      </w:r>
      <w:r>
        <w:rPr>
          <w:rFonts w:hint="eastAsia" w:hAnsi="仿宋"/>
          <w:color w:val="auto"/>
          <w:szCs w:val="32"/>
          <w:lang w:val="en-US" w:eastAsia="zh-CN"/>
        </w:rPr>
        <w:t>1.95</w:t>
      </w:r>
      <w:r>
        <w:rPr>
          <w:rFonts w:hint="eastAsia" w:hAnsi="仿宋"/>
          <w:color w:val="auto"/>
          <w:szCs w:val="32"/>
        </w:rPr>
        <w:t>万元，公务用车购置及运行费支出预算为</w:t>
      </w:r>
      <w:r>
        <w:rPr>
          <w:rFonts w:hint="eastAsia" w:hAnsi="仿宋"/>
          <w:color w:val="auto"/>
          <w:szCs w:val="32"/>
          <w:lang w:val="en-US" w:eastAsia="zh-CN"/>
        </w:rPr>
        <w:t>0</w:t>
      </w:r>
      <w:r>
        <w:rPr>
          <w:rFonts w:hint="eastAsia" w:hAnsi="仿宋"/>
          <w:color w:val="auto"/>
          <w:szCs w:val="32"/>
        </w:rPr>
        <w:t>万元。具体情况如下：</w:t>
      </w:r>
    </w:p>
    <w:p>
      <w:pPr>
        <w:pStyle w:val="3"/>
        <w:adjustRightInd w:val="0"/>
        <w:snapToGrid w:val="0"/>
        <w:spacing w:before="0" w:beforeAutospacing="0" w:after="0" w:afterAutospacing="0" w:line="600" w:lineRule="exact"/>
        <w:ind w:firstLine="643" w:firstLineChars="200"/>
        <w:rPr>
          <w:rFonts w:ascii="仿宋_GB2312" w:hAnsi="仿宋" w:eastAsia="仿宋_GB2312" w:cs="Times New Roman"/>
          <w:kern w:val="2"/>
          <w:sz w:val="32"/>
          <w:szCs w:val="32"/>
        </w:rPr>
      </w:pPr>
      <w:r>
        <w:rPr>
          <w:rFonts w:hint="eastAsia" w:ascii="楷体_GB2312" w:hAnsi="楷体_GB2312" w:eastAsia="楷体_GB2312" w:cs="楷体_GB2312"/>
          <w:b/>
          <w:sz w:val="32"/>
          <w:szCs w:val="32"/>
        </w:rPr>
        <w:t>（一）因公出国（境）费</w:t>
      </w:r>
      <w:r>
        <w:rPr>
          <w:rFonts w:hint="eastAsia" w:ascii="仿宋_GB2312" w:hAnsi="仿宋" w:eastAsia="仿宋_GB2312"/>
          <w:color w:val="000000"/>
          <w:sz w:val="32"/>
          <w:szCs w:val="32"/>
        </w:rPr>
        <w:t>支出预算</w:t>
      </w:r>
      <w:r>
        <w:rPr>
          <w:rFonts w:hint="eastAsia" w:ascii="仿宋_GB2312" w:eastAsia="仿宋_GB2312"/>
          <w:color w:val="000000"/>
          <w:sz w:val="32"/>
          <w:szCs w:val="32"/>
          <w:lang w:val="en-US" w:eastAsia="zh-CN"/>
        </w:rPr>
        <w:t>0</w:t>
      </w:r>
      <w:r>
        <w:rPr>
          <w:rFonts w:hint="eastAsia" w:ascii="仿宋_GB2312" w:hAnsi="仿宋" w:eastAsia="仿宋_GB2312"/>
          <w:color w:val="000000"/>
          <w:sz w:val="32"/>
          <w:szCs w:val="32"/>
        </w:rPr>
        <w:t>万元, 比202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年预算减少（增加）</w:t>
      </w:r>
      <w:r>
        <w:rPr>
          <w:rFonts w:hint="eastAsia" w:ascii="仿宋_GB2312" w:eastAsia="仿宋_GB2312"/>
          <w:color w:val="000000"/>
          <w:sz w:val="32"/>
          <w:szCs w:val="32"/>
          <w:lang w:val="en-US" w:eastAsia="zh-CN"/>
        </w:rPr>
        <w:t>0</w:t>
      </w:r>
      <w:r>
        <w:rPr>
          <w:rFonts w:hint="eastAsia" w:ascii="仿宋_GB2312" w:hAnsi="仿宋" w:eastAsia="仿宋_GB2312"/>
          <w:color w:val="000000"/>
          <w:sz w:val="32"/>
          <w:szCs w:val="32"/>
        </w:rPr>
        <w:t>万元，下降（增长）</w:t>
      </w:r>
      <w:r>
        <w:rPr>
          <w:rFonts w:hint="eastAsia" w:ascii="仿宋_GB2312" w:eastAsia="仿宋_GB2312"/>
          <w:color w:val="000000"/>
          <w:sz w:val="32"/>
          <w:szCs w:val="32"/>
          <w:lang w:val="en-US" w:eastAsia="zh-CN"/>
        </w:rPr>
        <w:t>0</w:t>
      </w:r>
      <w:r>
        <w:rPr>
          <w:rFonts w:hint="eastAsia" w:ascii="仿宋_GB2312" w:hAnsi="仿宋" w:eastAsia="仿宋_GB2312"/>
          <w:color w:val="000000"/>
          <w:sz w:val="32"/>
          <w:szCs w:val="32"/>
        </w:rPr>
        <w:t>%，下降（增长）原因主要是本单位无因公出国（境）费。</w:t>
      </w:r>
      <w:r>
        <w:rPr>
          <w:rFonts w:hint="eastAsia" w:ascii="仿宋_GB2312" w:hAnsi="仿宋" w:eastAsia="仿宋_GB2312" w:cs="Times New Roman"/>
          <w:color w:val="000000"/>
          <w:kern w:val="2"/>
          <w:sz w:val="32"/>
          <w:szCs w:val="32"/>
        </w:rPr>
        <w:t>经费使用严格执行《安徽省省直党政机关因公临时出国经费管理办法》（财行〔2014〕104号）、《安徽省省直党政机关因公短期出国培训费用管理办法》（财行〔2014〕527号）等相关规定。</w:t>
      </w:r>
    </w:p>
    <w:p>
      <w:pPr>
        <w:pStyle w:val="3"/>
        <w:adjustRightInd w:val="0"/>
        <w:snapToGrid w:val="0"/>
        <w:spacing w:before="0" w:beforeAutospacing="0" w:after="0" w:afterAutospacing="0" w:line="600" w:lineRule="exact"/>
        <w:ind w:firstLine="643" w:firstLineChars="200"/>
        <w:jc w:val="both"/>
        <w:rPr>
          <w:rFonts w:hint="eastAsia" w:ascii="仿宋_GB2312" w:hAnsi="仿宋" w:eastAsia="仿宋_GB2312"/>
          <w:sz w:val="32"/>
          <w:szCs w:val="32"/>
        </w:rPr>
      </w:pPr>
      <w:r>
        <w:rPr>
          <w:rFonts w:hint="eastAsia" w:ascii="楷体_GB2312" w:hAnsi="楷体_GB2312" w:eastAsia="楷体_GB2312" w:cs="楷体_GB2312"/>
          <w:b/>
          <w:sz w:val="32"/>
          <w:szCs w:val="32"/>
        </w:rPr>
        <w:t>（二）公务用车购置及运行费</w:t>
      </w:r>
      <w:r>
        <w:rPr>
          <w:rFonts w:hint="eastAsia" w:ascii="仿宋_GB2312" w:hAnsi="仿宋" w:eastAsia="仿宋_GB2312"/>
          <w:color w:val="000000"/>
          <w:sz w:val="32"/>
          <w:szCs w:val="32"/>
        </w:rPr>
        <w:t>支出预算</w:t>
      </w:r>
      <w:r>
        <w:rPr>
          <w:rFonts w:hint="eastAsia" w:ascii="仿宋_GB2312" w:hAnsi="仿宋" w:eastAsia="仿宋_GB2312"/>
          <w:color w:val="000000"/>
          <w:sz w:val="32"/>
          <w:szCs w:val="32"/>
          <w:lang w:eastAsia="zh-CN"/>
        </w:rPr>
        <w:t>0</w:t>
      </w:r>
      <w:r>
        <w:rPr>
          <w:rFonts w:hint="eastAsia" w:ascii="仿宋_GB2312" w:hAnsi="仿宋" w:eastAsia="仿宋_GB2312"/>
          <w:color w:val="000000"/>
          <w:sz w:val="32"/>
          <w:szCs w:val="32"/>
        </w:rPr>
        <w:t>万元，比202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年预算减少（增加）</w:t>
      </w:r>
      <w:r>
        <w:rPr>
          <w:rFonts w:hint="eastAsia" w:ascii="仿宋_GB2312" w:hAnsi="仿宋" w:eastAsia="仿宋_GB2312"/>
          <w:color w:val="000000"/>
          <w:sz w:val="32"/>
          <w:szCs w:val="32"/>
          <w:lang w:eastAsia="zh-CN"/>
        </w:rPr>
        <w:t>0</w:t>
      </w:r>
      <w:r>
        <w:rPr>
          <w:rFonts w:hint="eastAsia" w:ascii="仿宋_GB2312" w:hAnsi="仿宋" w:eastAsia="仿宋_GB2312"/>
          <w:color w:val="000000"/>
          <w:sz w:val="32"/>
          <w:szCs w:val="32"/>
        </w:rPr>
        <w:t>万元，下降（增长）</w:t>
      </w:r>
      <w:r>
        <w:rPr>
          <w:rFonts w:hint="eastAsia" w:ascii="仿宋_GB2312" w:hAnsi="仿宋" w:eastAsia="仿宋_GB2312"/>
          <w:color w:val="000000"/>
          <w:sz w:val="32"/>
          <w:szCs w:val="32"/>
          <w:lang w:eastAsia="zh-CN"/>
        </w:rPr>
        <w:t>0</w:t>
      </w:r>
      <w:r>
        <w:rPr>
          <w:rFonts w:hint="eastAsia" w:ascii="仿宋_GB2312" w:hAnsi="仿宋" w:eastAsia="仿宋_GB2312"/>
          <w:color w:val="000000"/>
          <w:sz w:val="32"/>
          <w:szCs w:val="32"/>
        </w:rPr>
        <w:t>%。其中：公务用车运行费</w:t>
      </w:r>
      <w:r>
        <w:rPr>
          <w:rFonts w:hint="eastAsia" w:ascii="仿宋_GB2312" w:hAnsi="仿宋" w:eastAsia="仿宋_GB2312"/>
          <w:color w:val="000000"/>
          <w:sz w:val="32"/>
          <w:szCs w:val="32"/>
          <w:lang w:eastAsia="zh-CN"/>
        </w:rPr>
        <w:t>0</w:t>
      </w:r>
      <w:r>
        <w:rPr>
          <w:rFonts w:hint="eastAsia" w:ascii="仿宋_GB2312" w:hAnsi="仿宋" w:eastAsia="仿宋_GB2312"/>
          <w:color w:val="000000"/>
          <w:sz w:val="32"/>
          <w:szCs w:val="32"/>
        </w:rPr>
        <w:t>万元，比202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年预算减少（增加）</w:t>
      </w:r>
      <w:r>
        <w:rPr>
          <w:rFonts w:hint="eastAsia" w:ascii="仿宋_GB2312" w:hAnsi="仿宋" w:eastAsia="仿宋_GB2312"/>
          <w:color w:val="000000"/>
          <w:sz w:val="32"/>
          <w:szCs w:val="32"/>
          <w:lang w:eastAsia="zh-CN"/>
        </w:rPr>
        <w:t>0</w:t>
      </w:r>
      <w:r>
        <w:rPr>
          <w:rFonts w:hint="eastAsia" w:ascii="仿宋_GB2312" w:hAnsi="仿宋" w:eastAsia="仿宋_GB2312"/>
          <w:color w:val="000000"/>
          <w:sz w:val="32"/>
          <w:szCs w:val="32"/>
        </w:rPr>
        <w:t>万元，下降（增长）</w:t>
      </w:r>
      <w:r>
        <w:rPr>
          <w:rFonts w:hint="eastAsia" w:ascii="仿宋_GB2312" w:hAnsi="仿宋" w:eastAsia="仿宋_GB2312"/>
          <w:color w:val="000000"/>
          <w:sz w:val="32"/>
          <w:szCs w:val="32"/>
          <w:lang w:eastAsia="zh-CN"/>
        </w:rPr>
        <w:t>0</w:t>
      </w:r>
      <w:r>
        <w:rPr>
          <w:rFonts w:hint="eastAsia" w:ascii="仿宋_GB2312" w:hAnsi="仿宋" w:eastAsia="仿宋_GB2312"/>
          <w:color w:val="000000"/>
          <w:sz w:val="32"/>
          <w:szCs w:val="32"/>
        </w:rPr>
        <w:t>%，下降（增长）原因主要是本单位无公务用车购置及运行费。公务用车购</w:t>
      </w:r>
      <w:bookmarkStart w:id="0" w:name="_GoBack"/>
      <w:bookmarkEnd w:id="0"/>
      <w:r>
        <w:rPr>
          <w:rFonts w:hint="eastAsia" w:ascii="仿宋_GB2312" w:hAnsi="仿宋" w:eastAsia="仿宋_GB2312"/>
          <w:color w:val="000000"/>
          <w:sz w:val="32"/>
          <w:szCs w:val="32"/>
        </w:rPr>
        <w:t>置费</w:t>
      </w:r>
      <w:r>
        <w:rPr>
          <w:rFonts w:hint="eastAsia" w:ascii="仿宋_GB2312" w:hAnsi="仿宋" w:eastAsia="仿宋_GB2312"/>
          <w:color w:val="000000"/>
          <w:sz w:val="32"/>
          <w:szCs w:val="32"/>
          <w:lang w:eastAsia="zh-CN"/>
        </w:rPr>
        <w:t>0</w:t>
      </w:r>
      <w:r>
        <w:rPr>
          <w:rFonts w:hint="eastAsia" w:ascii="仿宋_GB2312" w:hAnsi="仿宋" w:eastAsia="仿宋_GB2312"/>
          <w:color w:val="000000"/>
          <w:sz w:val="32"/>
          <w:szCs w:val="32"/>
        </w:rPr>
        <w:t>万元，比202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年预算减少（增加）</w:t>
      </w:r>
      <w:r>
        <w:rPr>
          <w:rFonts w:hint="eastAsia" w:ascii="仿宋_GB2312" w:hAnsi="仿宋" w:eastAsia="仿宋_GB2312"/>
          <w:color w:val="000000"/>
          <w:sz w:val="32"/>
          <w:szCs w:val="32"/>
          <w:lang w:eastAsia="zh-CN"/>
        </w:rPr>
        <w:t>0</w:t>
      </w:r>
      <w:r>
        <w:rPr>
          <w:rFonts w:hint="eastAsia" w:ascii="仿宋_GB2312" w:hAnsi="仿宋" w:eastAsia="仿宋_GB2312"/>
          <w:color w:val="000000"/>
          <w:sz w:val="32"/>
          <w:szCs w:val="32"/>
        </w:rPr>
        <w:t>万元，下降（增长）</w:t>
      </w:r>
      <w:r>
        <w:rPr>
          <w:rFonts w:hint="eastAsia" w:ascii="仿宋_GB2312" w:hAnsi="仿宋" w:eastAsia="仿宋_GB2312"/>
          <w:color w:val="000000"/>
          <w:sz w:val="32"/>
          <w:szCs w:val="32"/>
          <w:lang w:eastAsia="zh-CN"/>
        </w:rPr>
        <w:t>0</w:t>
      </w:r>
      <w:r>
        <w:rPr>
          <w:rFonts w:hint="eastAsia" w:ascii="仿宋_GB2312" w:hAnsi="仿宋" w:eastAsia="仿宋_GB2312"/>
          <w:color w:val="000000"/>
          <w:sz w:val="32"/>
          <w:szCs w:val="32"/>
        </w:rPr>
        <w:t>%，下降（增长）原因主要是本单位无公务用车购置费。</w:t>
      </w:r>
    </w:p>
    <w:p>
      <w:pPr>
        <w:pStyle w:val="3"/>
        <w:adjustRightInd w:val="0"/>
        <w:snapToGrid w:val="0"/>
        <w:spacing w:before="0" w:beforeAutospacing="0" w:after="0" w:afterAutospacing="0" w:line="600" w:lineRule="exact"/>
        <w:ind w:firstLine="643" w:firstLineChars="200"/>
        <w:rPr>
          <w:rFonts w:hint="eastAsia" w:ascii="仿宋_GB2312" w:eastAsia="仿宋_GB2312" w:cs="Times New Roman"/>
          <w:sz w:val="32"/>
          <w:szCs w:val="32"/>
        </w:rPr>
      </w:pPr>
      <w:r>
        <w:rPr>
          <w:rFonts w:hint="eastAsia" w:ascii="楷体_GB2312" w:hAnsi="楷体_GB2312" w:eastAsia="楷体_GB2312" w:cs="楷体_GB2312"/>
          <w:b/>
          <w:sz w:val="32"/>
          <w:szCs w:val="32"/>
        </w:rPr>
        <w:t>（三）公务接待费</w:t>
      </w:r>
      <w:r>
        <w:rPr>
          <w:rFonts w:hint="eastAsia" w:ascii="仿宋_GB2312" w:hAnsi="仿宋" w:eastAsia="仿宋_GB2312"/>
          <w:sz w:val="32"/>
          <w:szCs w:val="32"/>
        </w:rPr>
        <w:t>支出预算</w:t>
      </w:r>
      <w:r>
        <w:rPr>
          <w:rFonts w:hint="eastAsia" w:ascii="仿宋_GB2312" w:hAnsi="仿宋" w:eastAsia="仿宋_GB2312"/>
          <w:sz w:val="32"/>
          <w:szCs w:val="32"/>
          <w:lang w:val="en-US" w:eastAsia="zh-CN"/>
        </w:rPr>
        <w:t>1.95</w:t>
      </w:r>
      <w:r>
        <w:rPr>
          <w:rFonts w:hint="eastAsia" w:ascii="仿宋_GB2312" w:hAnsi="仿宋" w:eastAsia="仿宋_GB2312"/>
          <w:sz w:val="32"/>
          <w:szCs w:val="32"/>
        </w:rPr>
        <w:t>万元，比2023年预算减少</w:t>
      </w:r>
      <w:r>
        <w:rPr>
          <w:rFonts w:hint="eastAsia" w:ascii="仿宋_GB2312" w:hAnsi="仿宋" w:eastAsia="仿宋_GB2312"/>
          <w:sz w:val="32"/>
          <w:szCs w:val="32"/>
          <w:lang w:val="en-US" w:eastAsia="zh-CN"/>
        </w:rPr>
        <w:t>0.05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2.5</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color w:val="000000"/>
          <w:sz w:val="32"/>
          <w:szCs w:val="32"/>
        </w:rPr>
        <w:t>下降原因主要</w:t>
      </w:r>
      <w:r>
        <w:rPr>
          <w:rFonts w:hint="eastAsia" w:ascii="仿宋_GB2312" w:hAnsi="仿宋" w:eastAsia="仿宋_GB2312"/>
          <w:color w:val="000000"/>
          <w:sz w:val="32"/>
          <w:szCs w:val="32"/>
          <w:lang w:val="en-US" w:eastAsia="zh-CN"/>
        </w:rPr>
        <w:t>是</w:t>
      </w:r>
      <w:r>
        <w:rPr>
          <w:rFonts w:hint="eastAsia" w:ascii="仿宋_GB2312" w:hAnsi="仿宋" w:eastAsia="仿宋_GB2312"/>
          <w:color w:val="000000"/>
          <w:sz w:val="32"/>
          <w:szCs w:val="32"/>
        </w:rPr>
        <w:t>严格执行中央八项规定，厉行节约</w:t>
      </w:r>
      <w:r>
        <w:rPr>
          <w:rFonts w:hint="eastAsia" w:ascii="仿宋_GB2312" w:hAnsi="仿宋" w:eastAsia="仿宋_GB2312"/>
          <w:sz w:val="32"/>
          <w:szCs w:val="32"/>
        </w:rPr>
        <w:t>。</w:t>
      </w:r>
      <w:r>
        <w:rPr>
          <w:rFonts w:hint="eastAsia" w:ascii="仿宋_GB2312" w:hAnsi="仿宋" w:eastAsia="仿宋_GB2312"/>
          <w:color w:val="000000"/>
          <w:sz w:val="32"/>
          <w:szCs w:val="32"/>
        </w:rPr>
        <w:t>该项经费主要用于接待上级人大视察调研接待及本级人大交流学习接待</w:t>
      </w:r>
      <w:r>
        <w:rPr>
          <w:rFonts w:hint="eastAsia" w:ascii="仿宋_GB2312" w:hAnsi="仿宋" w:eastAsia="仿宋_GB2312"/>
          <w:sz w:val="32"/>
          <w:szCs w:val="32"/>
        </w:rPr>
        <w:t>。</w:t>
      </w:r>
      <w:r>
        <w:rPr>
          <w:rFonts w:hint="eastAsia" w:ascii="仿宋_GB2312" w:eastAsia="仿宋_GB2312" w:cs="仿宋_GB2312"/>
          <w:sz w:val="32"/>
          <w:szCs w:val="32"/>
        </w:rPr>
        <w:t>经费使用严格执行《党政机关厉行节约反对浪费条例》、《枞阳县党政机关国内公务接待管理办法》、《枞阳县县直机关公务接待费管理暂行办法》（财行〔2015〕248号）等规定。</w:t>
      </w:r>
    </w:p>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D2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20202"/>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Normal Indent"/>
    <w:basedOn w:val="1"/>
    <w:qFormat/>
    <w:uiPriority w:val="0"/>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color w:val="auto"/>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2024-09-19T01:44:43Z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